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2"/>
        </w:rPr>
      </w:pPr>
      <w:bookmarkStart w:id="0" w:name="_GoBack"/>
      <w:bookmarkEnd w:id="0"/>
    </w:p>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三宅町住宅耐震化緊急促進アクションプログラム</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１．策定の目的</w:t>
      </w:r>
    </w:p>
    <w:p>
      <w:pPr>
        <w:pStyle w:val="0"/>
        <w:ind w:left="210" w:leftChars="100" w:firstLine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三宅町耐震改修促進計画に定めた目標を達成するためには、住宅所有者の経済的負担の軽減を図るとともに、住宅所有者への耐震化対策の周知、普及啓発に努め、耐震化に対する意識向上を図ることが重要です。</w:t>
      </w:r>
    </w:p>
    <w:p>
      <w:pPr>
        <w:pStyle w:val="0"/>
        <w:ind w:left="210" w:leftChars="100" w:firstLineChars="0"/>
        <w:rPr>
          <w:rFonts w:hint="eastAsia"/>
        </w:rPr>
      </w:pPr>
      <w:r>
        <w:rPr>
          <w:rFonts w:hint="eastAsia" w:ascii="HG丸ｺﾞｼｯｸM-PRO" w:hAnsi="HG丸ｺﾞｼｯｸM-PRO" w:eastAsia="HG丸ｺﾞｼｯｸM-PRO"/>
          <w:sz w:val="22"/>
        </w:rPr>
        <w:t>　このため、三宅町住宅耐震化緊急促進アクションプログラム（以下、アクションプログラム）では、住宅耐震化に係る費用支援を継続するとともに、「①住宅所有者に対する直接的に耐震化を促す取組み」「②耐震診断実施者に対する耐震改修を促す取組み」</w:t>
      </w:r>
      <w:r>
        <w:rPr>
          <w:rFonts w:hint="eastAsia" w:ascii="HG丸ｺﾞｼｯｸM-PRO" w:hAnsi="HG丸ｺﾞｼｯｸM-PRO" w:eastAsia="HG丸ｺﾞｼｯｸM-PRO"/>
          <w:color w:val="000000" w:themeColor="text1"/>
          <w:sz w:val="22"/>
        </w:rPr>
        <w:t>「③改修事業者等への技術力向上を図る取組み及び住宅所有者から改修事業者への接触が容易になる取組み」</w:t>
      </w:r>
      <w:r>
        <w:rPr>
          <w:rFonts w:hint="eastAsia" w:ascii="HG丸ｺﾞｼｯｸM-PRO" w:hAnsi="HG丸ｺﾞｼｯｸM-PRO" w:eastAsia="HG丸ｺﾞｼｯｸM-PRO"/>
          <w:sz w:val="22"/>
        </w:rPr>
        <w:t>「④一般住民への耐震化の必要性に係る周知・普及」等に取り組むことで、より一層、住宅の耐震化を推進することを目的とします。</w:t>
      </w:r>
    </w:p>
    <w:p>
      <w:pPr>
        <w:pStyle w:val="0"/>
        <w:ind w:left="210" w:leftChars="100" w:firstLineChars="0"/>
        <w:rPr>
          <w:rFonts w:hint="eastAsia"/>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２．位置付け</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本アクションプログラムは、三宅町耐震改修促進計画第２章第２項、３項に定めた目標の達成に向けて住宅の耐震化を促進するために策定し、同計画の改定時に同計画に位置付けるものとします。</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３．取り組み期間</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本アクションプログラムの取り組み期間は、令和８年から令和１２年の５年間とします。</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ただし、社会的経済状況や関係計画の改定、本アクションプログラムの進捗状況等に適切に対応するため、必要に応じて検証・見直しを行うこととします。</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４．緊急的に耐震化を促進する区域の設定</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三宅町全体を住宅の耐震化を緊急的に促進する区域として設定します。</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５．取り組み内容</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（１）計画</w:t>
      </w:r>
    </w:p>
    <w:tbl>
      <w:tblPr>
        <w:tblStyle w:val="17"/>
        <w:tblW w:w="0" w:type="auto"/>
        <w:tblInd w:w="0" w:type="dxa"/>
        <w:tblLayout w:type="fixed"/>
        <w:tblLook w:firstRow="1" w:lastRow="0" w:firstColumn="1" w:lastColumn="0" w:noHBand="0" w:noVBand="1" w:val="04A0"/>
      </w:tblPr>
      <w:tblGrid>
        <w:gridCol w:w="1465"/>
        <w:gridCol w:w="5250"/>
        <w:gridCol w:w="1789"/>
      </w:tblGrid>
      <w:tr>
        <w:trPr/>
        <w:tc>
          <w:tcPr>
            <w:tcW w:w="1465" w:type="dxa"/>
            <w:vAlign w:val="top"/>
          </w:tcPr>
          <w:p>
            <w:pPr>
              <w:pStyle w:val="0"/>
              <w:rPr>
                <w:rFonts w:hint="eastAsia" w:ascii="HG丸ｺﾞｼｯｸM-PRO" w:hAnsi="HG丸ｺﾞｼｯｸM-PRO" w:eastAsia="HG丸ｺﾞｼｯｸM-PRO"/>
              </w:rPr>
            </w:pPr>
          </w:p>
        </w:tc>
        <w:tc>
          <w:tcPr>
            <w:tcW w:w="525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取り組み内容</w:t>
            </w:r>
          </w:p>
        </w:tc>
        <w:tc>
          <w:tcPr>
            <w:tcW w:w="1787"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令和８年度目標</w:t>
            </w:r>
          </w:p>
        </w:tc>
      </w:tr>
      <w:tr>
        <w:trPr/>
        <w:tc>
          <w:tcPr>
            <w:tcW w:w="1465" w:type="dxa"/>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財政的支援</w:t>
            </w:r>
          </w:p>
        </w:tc>
        <w:tc>
          <w:tcPr>
            <w:tcW w:w="5250" w:type="dxa"/>
            <w:vAlign w:val="top"/>
          </w:tcPr>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①昭和５６年５月３１日以前に着工された木造住宅の無料耐震診断の実施</w:t>
            </w:r>
          </w:p>
        </w:tc>
        <w:tc>
          <w:tcPr>
            <w:tcW w:w="1787" w:type="dxa"/>
            <w:vAlign w:val="top"/>
          </w:tcPr>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２戸</w:t>
            </w:r>
          </w:p>
        </w:tc>
      </w:tr>
      <w:tr>
        <w:trPr/>
        <w:tc>
          <w:tcPr>
            <w:tcW w:w="1465" w:type="dxa"/>
            <w:vAlign w:val="top"/>
          </w:tcPr>
          <w:p>
            <w:pPr>
              <w:pStyle w:val="0"/>
              <w:rPr>
                <w:rFonts w:hint="eastAsia" w:ascii="HG丸ｺﾞｼｯｸM-PRO" w:hAnsi="HG丸ｺﾞｼｯｸM-PRO" w:eastAsia="HG丸ｺﾞｼｯｸM-PRO"/>
                <w:sz w:val="21"/>
              </w:rPr>
            </w:pPr>
          </w:p>
        </w:tc>
        <w:tc>
          <w:tcPr>
            <w:tcW w:w="5250" w:type="dxa"/>
            <w:vAlign w:val="top"/>
          </w:tcPr>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②昭和５６年５月３１日以前に着工された木造住宅の耐震改修工事費の一部補助を実施</w:t>
            </w:r>
          </w:p>
        </w:tc>
        <w:tc>
          <w:tcPr>
            <w:tcW w:w="1787" w:type="dxa"/>
            <w:vAlign w:val="top"/>
          </w:tcPr>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１戸</w:t>
            </w:r>
          </w:p>
        </w:tc>
      </w:tr>
      <w:tr>
        <w:trPr/>
        <w:tc>
          <w:tcPr>
            <w:tcW w:w="1465" w:type="dxa"/>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普及啓発等</w:t>
            </w:r>
          </w:p>
        </w:tc>
        <w:tc>
          <w:tcPr>
            <w:tcW w:w="5250" w:type="dxa"/>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①住宅所有者に対する直接的に耐震化を促す取組み</w:t>
            </w: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・旧耐震基準の住宅所有者に啓発パンフレットの配布</w:t>
            </w:r>
          </w:p>
          <w:p>
            <w:pPr>
              <w:pStyle w:val="0"/>
              <w:ind w:left="210" w:hanging="210" w:hangingChars="10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・令和１２年度までに対象全戸に啓発チラシ同封の納税通知書を送付</w:t>
            </w:r>
          </w:p>
        </w:tc>
        <w:tc>
          <w:tcPr>
            <w:tcW w:w="1787" w:type="dxa"/>
            <w:vAlign w:val="top"/>
          </w:tcPr>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p>
        </w:tc>
      </w:tr>
      <w:tr>
        <w:trPr/>
        <w:tc>
          <w:tcPr>
            <w:tcW w:w="14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sz w:val="21"/>
              </w:rPr>
            </w:pPr>
          </w:p>
        </w:tc>
        <w:tc>
          <w:tcPr>
            <w:tcW w:w="52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②耐震診断実施者に対する耐震改修を促す取組み</w:t>
            </w: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・診断結果報告時に啓発パンフレットの配布</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・診断してから一定期間（概ね一年）経過しても、改修をしていない方にＤＭや電話にて改修を促す</w:t>
            </w:r>
          </w:p>
        </w:tc>
        <w:tc>
          <w:tcPr>
            <w:tcW w:w="17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1"/>
              </w:rPr>
            </w:pP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２戸</w:t>
            </w:r>
          </w:p>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２戸</w:t>
            </w:r>
          </w:p>
        </w:tc>
      </w:tr>
      <w:tr>
        <w:trPr>
          <w:trHeight w:val="1030" w:hRule="atLeast"/>
        </w:trPr>
        <w:tc>
          <w:tcPr>
            <w:tcW w:w="14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1"/>
              </w:rPr>
            </w:pPr>
          </w:p>
        </w:tc>
        <w:tc>
          <w:tcPr>
            <w:tcW w:w="52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left="220" w:hanging="220" w:hangingChars="10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2"/>
              </w:rPr>
              <w:t>③改修事業者等への技術力向上を図る取組み及び住宅所有者から改修事業者への接触が容易になる取組み</w:t>
            </w:r>
          </w:p>
          <w:p>
            <w:pPr>
              <w:pStyle w:val="0"/>
              <w:ind w:left="210" w:hanging="210" w:hangingChars="10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・改修事業者に対する耐震改修工法等に係る説明会を年一回以上実施※</w:t>
            </w:r>
          </w:p>
          <w:p>
            <w:pPr>
              <w:pStyle w:val="0"/>
              <w:ind w:left="210" w:hanging="210" w:hangingChars="10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・耐震改修事業者リストを作成し、公表等を実施※</w:t>
            </w:r>
          </w:p>
          <w:p>
            <w:pPr>
              <w:pStyle w:val="0"/>
              <w:ind w:left="210" w:hanging="210" w:hangingChars="10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※県と連携して行う</w:t>
            </w:r>
          </w:p>
        </w:tc>
        <w:tc>
          <w:tcPr>
            <w:tcW w:w="178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tc>
      </w:tr>
      <w:tr>
        <w:trPr>
          <w:trHeight w:val="1170" w:hRule="atLeast"/>
        </w:trPr>
        <w:tc>
          <w:tcPr>
            <w:tcW w:w="1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sz w:val="21"/>
              </w:rPr>
            </w:pPr>
            <w:r>
              <w:rPr>
                <w:rFonts w:hint="eastAsia" w:ascii="HG丸ｺﾞｼｯｸM-PRO" w:hAnsi="HG丸ｺﾞｼｯｸM-PRO" w:eastAsia="HG丸ｺﾞｼｯｸM-PRO"/>
                <w:sz w:val="21"/>
              </w:rPr>
              <w:t>④一般住民への耐震化の必要性に係る周知・普及</w:t>
            </w:r>
          </w:p>
          <w:p>
            <w:pPr>
              <w:pStyle w:val="0"/>
              <w:ind w:left="210" w:hanging="210" w:hangingChars="100"/>
              <w:rPr>
                <w:rFonts w:hint="eastAsia"/>
              </w:rPr>
            </w:pPr>
            <w:r>
              <w:rPr>
                <w:rFonts w:hint="eastAsia" w:ascii="HG丸ｺﾞｼｯｸM-PRO" w:hAnsi="HG丸ｺﾞｼｯｸM-PRO" w:eastAsia="HG丸ｺﾞｼｯｸM-PRO"/>
                <w:sz w:val="21"/>
              </w:rPr>
              <w:t>・幅広く一般の住民に対して、耐震改修の必要性を周知する広報誌を通じ、役場玄関先等に啓発パネルを一</w:t>
            </w:r>
            <w:r>
              <w:rPr>
                <w:rFonts w:hint="eastAsia" w:ascii="HG丸ｺﾞｼｯｸM-PRO" w:hAnsi="HG丸ｺﾞｼｯｸM-PRO" w:eastAsia="HG丸ｺﾞｼｯｸM-PRO"/>
              </w:rPr>
              <w:t>週間以上設置</w:t>
            </w:r>
          </w:p>
        </w:tc>
        <w:tc>
          <w:tcPr>
            <w:tcW w:w="1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（２）自己評価</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毎年度、進捗状況を把握・評価するとともに、プログラムの充実・改善を図り、</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住宅の耐震化を強力に推進します。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Yu Gothic UI Semibold">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2</Pages>
  <Words>6</Words>
  <Characters>972</Characters>
  <Application>JUST Note</Application>
  <Lines>104</Lines>
  <Paragraphs>60</Paragraphs>
  <CharactersWithSpaces>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岸本玄</dc:creator>
  <cp:lastModifiedBy>井ノ上　智美</cp:lastModifiedBy>
  <dcterms:created xsi:type="dcterms:W3CDTF">2025-07-01T05:31:00Z</dcterms:created>
  <dcterms:modified xsi:type="dcterms:W3CDTF">2026-02-02T00:53:13Z</dcterms:modified>
  <cp:revision>7</cp:revision>
</cp:coreProperties>
</file>